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C1" w:rsidRPr="00F25FC1" w:rsidRDefault="00F25FC1" w:rsidP="00F25FC1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iCs/>
          <w:color w:val="222222"/>
          <w:kern w:val="3"/>
          <w:sz w:val="24"/>
          <w:szCs w:val="24"/>
          <w:lang w:bidi="en-US"/>
        </w:rPr>
        <w:t>Приложение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iCs/>
          <w:kern w:val="3"/>
          <w:sz w:val="24"/>
          <w:szCs w:val="24"/>
          <w:lang w:bidi="en-US"/>
        </w:rPr>
        <w:t xml:space="preserve">к Положению проведения </w:t>
      </w:r>
      <w:proofErr w:type="gramStart"/>
      <w:r w:rsidRPr="00F25FC1">
        <w:rPr>
          <w:rFonts w:ascii="Arial" w:eastAsia="Andale Sans UI" w:hAnsi="Arial" w:cs="Arial"/>
          <w:iCs/>
          <w:kern w:val="3"/>
          <w:sz w:val="24"/>
          <w:szCs w:val="24"/>
          <w:lang w:bidi="en-US"/>
        </w:rPr>
        <w:t>внешней</w:t>
      </w:r>
      <w:proofErr w:type="gramEnd"/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iCs/>
          <w:kern w:val="3"/>
          <w:sz w:val="24"/>
          <w:szCs w:val="24"/>
          <w:lang w:bidi="en-US"/>
        </w:rPr>
        <w:t xml:space="preserve"> проверки годового отчета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iCs/>
          <w:kern w:val="3"/>
          <w:sz w:val="24"/>
          <w:szCs w:val="24"/>
          <w:lang w:bidi="en-US"/>
        </w:rPr>
        <w:t xml:space="preserve">об исполнении бюджета  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iCs/>
          <w:kern w:val="3"/>
          <w:sz w:val="24"/>
          <w:szCs w:val="24"/>
          <w:lang w:bidi="en-US"/>
        </w:rPr>
        <w:t xml:space="preserve">сельского поселения </w:t>
      </w:r>
      <w:proofErr w:type="spellStart"/>
      <w:r w:rsidRPr="00F25FC1">
        <w:rPr>
          <w:rFonts w:ascii="Arial" w:eastAsia="Andale Sans UI" w:hAnsi="Arial" w:cs="Arial"/>
          <w:iCs/>
          <w:kern w:val="3"/>
          <w:sz w:val="24"/>
          <w:szCs w:val="24"/>
          <w:lang w:bidi="en-US"/>
        </w:rPr>
        <w:t>Ашитковское</w:t>
      </w:r>
      <w:proofErr w:type="spellEnd"/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  <w:t>Перечень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  <w:t>материалов, необходимых для проведения</w:t>
      </w:r>
      <w:r w:rsidRPr="00F25FC1">
        <w:rPr>
          <w:rFonts w:ascii="Arial" w:eastAsia="Andale Sans UI" w:hAnsi="Arial" w:cs="Arial"/>
          <w:b/>
          <w:color w:val="222222"/>
          <w:kern w:val="3"/>
          <w:sz w:val="24"/>
          <w:szCs w:val="24"/>
          <w:lang w:val="en-US" w:bidi="en-US"/>
        </w:rPr>
        <w:t> </w:t>
      </w:r>
      <w:r w:rsidRPr="00F25FC1"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  <w:t>внешней проверки годового</w:t>
      </w:r>
      <w:r w:rsidRPr="00F25FC1"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  <w:br/>
        <w:t xml:space="preserve">отчета об исполнении бюджета  сельского поселения </w:t>
      </w:r>
      <w:proofErr w:type="spellStart"/>
      <w:r w:rsidRPr="00F25FC1"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  <w:t>Ашитковское</w:t>
      </w:r>
      <w:proofErr w:type="spellEnd"/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" w:eastAsia="Andale Sans UI" w:hAnsi="Arial" w:cs="Arial"/>
          <w:b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1.Документы, предоставляемые Финансовым органом Администрации  сельского поселения: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proofErr w:type="gramStart"/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Положение о бюджетном процессе в  сельском поселение;</w:t>
      </w:r>
      <w:proofErr w:type="gramEnd"/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 xml:space="preserve"> -Решения Советов депутатов сельского поселения об утверждении бюджета на отчетный год со всеми приложениями (</w:t>
      </w:r>
      <w:proofErr w:type="gramStart"/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первоначальное</w:t>
      </w:r>
      <w:proofErr w:type="gramEnd"/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 xml:space="preserve"> и с последними изменениями, дополнениями);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 налоговой базе и структуре начислений по налогам и сборам, формирующим в соответствии с Бюджетным кодексом РФ доходы бюджета поселения;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перечень главных распорядителей и подведомственных ему распорядителей и получателей бюджетных средств;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 кредиторской и дебиторской задолженности местного бюджета на начало и конец отчетного периода (с расшифровкой и указанием наиболее крупных кредиторов и дебиторов);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положение о предоставлении бюджетных кредитов. Реестр предоставленных бюджетных кредитов по получателям бюджетных кредитов;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 сумме остатков денежных средств на счете бюджета  сельского поселения;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информация о муниципальном долге;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положение о порядке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val="en-US" w:bidi="en-US"/>
        </w:rPr>
        <w:t> 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создания и расходования средств резервного фонда;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 xml:space="preserve"> - отчет об использовании резервного фонда в отчетном периоде;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основные направления бюджетной и налоговой политики муниципального образования;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бюджетная отчетность органа, организующего исполнение бюджета, и главных администраторов бюджетных средств, по формам, установленным Министерством финансов Российской Федерации;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из долговой книги за отчетный период;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информацию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 суммах задолженности, недоимки, отсроченных (рассроченных), реструктурированных и приостановленных к взысканию налогов, сборов, пеней и штрафов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val="en-US" w:bidi="en-US"/>
        </w:rPr>
        <w:t> 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Федерации.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(отчет) о реализации на территории муниципального образования приоритетных национальных проектов;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об объемах действующих и вновь принятых обязательств (публичных обязательств).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highlight w:val="yellow"/>
          <w:lang w:bidi="en-US"/>
        </w:rPr>
        <w:t xml:space="preserve"> 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2. Документы, предоставляемые Администрацией  сельского поселения: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Устав муниципального образования;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 льготах, предоставленных по аренде земельных участков и имущества, с указанием постановлений (решений) о предоставлении льгот, получателей по принадлежности, а также сумм выпадающих доходов бюджета;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lastRenderedPageBreak/>
        <w:t>- список имущества, переданного в безвозмездное пользование, с указанием основания его передачи, пользователей имущества и сумм выпадающих доходов бюджета поселения;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 наличии задолженности по арендной плате за земельные участки и имущество, с указанием суммы недоимки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val="en-US" w:bidi="en-US"/>
        </w:rPr>
        <w:t> 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на начало и конец отчетного периода. Перечень основных должников;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 внесении в реестр муниципальной собственности объектов строительства, введенных в эксплуатацию за отчетный период;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итоги социально-экономического развития поселения;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отчет о реализации на территории поселения федеральных, областных, муниципальных целевых программ, 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положение о порядке формирования и реализации муниципальных целевых программ;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решение о порядке приватизации муниципального имущества;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отчет об исполнении программы приватизации;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реестр договоров аренды объектов муниципальной собственности;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положение о ведении реестра расходных обязательств и реестр расходных обязательств;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 xml:space="preserve">- порядок формирования, обеспечения размещения, исполнения и </w:t>
      </w:r>
      <w:proofErr w:type="gramStart"/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контроля за</w:t>
      </w:r>
      <w:proofErr w:type="gramEnd"/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 xml:space="preserve"> исполнением муниципального заказа;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highlight w:val="yellow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реестр муниципальных контрактов.</w:t>
      </w: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highlight w:val="yellow"/>
          <w:lang w:bidi="en-US"/>
        </w:rPr>
        <w:t xml:space="preserve"> 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  <w:r w:rsidRPr="00F25FC1"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  <w:t>- сведения об осуществлении ведомственного финансового контроля;</w:t>
      </w: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highlight w:val="yellow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color w:val="222222"/>
          <w:kern w:val="3"/>
          <w:sz w:val="24"/>
          <w:szCs w:val="24"/>
          <w:lang w:bidi="en-US"/>
        </w:rPr>
      </w:pPr>
    </w:p>
    <w:p w:rsidR="00F25FC1" w:rsidRPr="00F25FC1" w:rsidRDefault="00F25FC1" w:rsidP="00F25FC1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bidi="en-US"/>
        </w:rPr>
      </w:pPr>
    </w:p>
    <w:p w:rsidR="00E6677F" w:rsidRDefault="00E6677F">
      <w:bookmarkStart w:id="0" w:name="_GoBack"/>
      <w:bookmarkEnd w:id="0"/>
    </w:p>
    <w:sectPr w:rsidR="00E6677F" w:rsidSect="00F2111D">
      <w:footerReference w:type="default" r:id="rId5"/>
      <w:pgSz w:w="11905" w:h="16837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BA" w:rsidRDefault="00F25FC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F25FC1">
      <w:rPr>
        <w:noProof/>
        <w:lang w:val="ru-RU"/>
      </w:rPr>
      <w:t>1</w:t>
    </w:r>
    <w:r>
      <w:fldChar w:fldCharType="end"/>
    </w:r>
  </w:p>
  <w:p w:rsidR="006136BA" w:rsidRDefault="00F25FC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BA"/>
    <w:rsid w:val="00E6677F"/>
    <w:rsid w:val="00E932BA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5FC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F25FC1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5FC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F25FC1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2013-07-07T14:52:00Z</dcterms:created>
  <dcterms:modified xsi:type="dcterms:W3CDTF">2013-07-07T14:53:00Z</dcterms:modified>
</cp:coreProperties>
</file>